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7915" cy="17735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915" cy="17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1F3863"/>
        </w:rPr>
        <w:t>Alameda-1</w:t>
      </w:r>
      <w:r>
        <w:rPr>
          <w:color w:val="1F3863"/>
          <w:spacing w:val="-3"/>
        </w:rPr>
        <w:t> </w:t>
      </w:r>
      <w:r>
        <w:rPr>
          <w:color w:val="1F3863"/>
        </w:rPr>
        <w:t>Drilling</w:t>
      </w:r>
      <w:r>
        <w:rPr>
          <w:color w:val="1F3863"/>
          <w:spacing w:val="-6"/>
        </w:rPr>
        <w:t> </w:t>
      </w:r>
      <w:r>
        <w:rPr>
          <w:color w:val="1F3863"/>
        </w:rPr>
        <w:t>Update</w:t>
      </w:r>
    </w:p>
    <w:p>
      <w:pPr>
        <w:pStyle w:val="BodyText"/>
        <w:spacing w:before="1"/>
        <w:rPr>
          <w:rFonts w:ascii="Arial"/>
          <w:b/>
          <w:sz w:val="13"/>
        </w:rPr>
      </w:pPr>
      <w:r>
        <w:rPr/>
        <w:pict>
          <v:group style="position:absolute;margin-left:56.639999pt;margin-top:9.501562pt;width:481.95pt;height:131.4pt;mso-position-horizontal-relative:page;mso-position-vertical-relative:paragraph;z-index:-15728640;mso-wrap-distance-left:0;mso-wrap-distance-right:0" coordorigin="1133,190" coordsize="9639,2628">
            <v:rect style="position:absolute;left:1154;top:209;width:9598;height:2590" filled="true" fillcolor="#deeaf6" stroked="false">
              <v:fill type="solid"/>
            </v:rect>
            <v:shape style="position:absolute;left:1132;top:190;width:9620;height:48" coordorigin="1133,190" coordsize="9620,48" path="m10752,190l1152,190,1133,190,1133,209,1133,238,1152,238,1152,209,10752,209,10752,190xe" filled="true" fillcolor="#000000" stroked="false">
              <v:path arrowok="t"/>
              <v:fill type="solid"/>
            </v:shape>
            <v:rect style="position:absolute;left:1152;top:209;width:9600;height:29" filled="true" fillcolor="#deeaf6" stroked="false">
              <v:fill type="solid"/>
            </v:rect>
            <v:shape style="position:absolute;left:10752;top:190;width:20;height:48" coordorigin="10752,190" coordsize="20,48" path="m10771,190l10752,190,10752,209,10752,238,10771,238,10771,209,10771,190xe" filled="true" fillcolor="#000000" stroked="false">
              <v:path arrowok="t"/>
              <v:fill type="solid"/>
            </v:shape>
            <v:rect style="position:absolute;left:1142;top:2770;width:9620;height:29" filled="true" fillcolor="#deeaf6" stroked="false">
              <v:fill type="solid"/>
            </v:rect>
            <v:shape style="position:absolute;left:1132;top:238;width:9639;height:2580" coordorigin="1133,238" coordsize="9639,2580" path="m10771,238l10752,238,10752,2799,1152,2799,1152,238,1133,238,1133,2799,1133,2818,1152,2818,10752,2818,10771,2818,10771,2799,10771,238xe" filled="true" fillcolor="#000000" stroked="false">
              <v:path arrowok="t"/>
              <v:fill type="solid"/>
            </v:shape>
            <v:shape style="position:absolute;left:1152;top:238;width:9600;height:2532" type="#_x0000_t202" filled="false" stroked="false">
              <v:textbox inset="0,0,0,0">
                <w:txbxContent>
                  <w:p>
                    <w:pPr>
                      <w:spacing w:before="0"/>
                      <w:ind w:left="10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Highlights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  <w:tab w:pos="385" w:val="left" w:leader="none"/>
                      </w:tabs>
                      <w:spacing w:before="0"/>
                      <w:ind w:left="383" w:right="359" w:hanging="284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Another zone of interest has been encountered leading up to 1842 metres, with good</w:t>
                    </w:r>
                    <w:r>
                      <w:rPr>
                        <w:rFonts w:ascii="Arial"/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oil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shows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and elevated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gas readings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  <w:tab w:pos="385" w:val="left" w:leader="none"/>
                      </w:tabs>
                      <w:spacing w:before="0"/>
                      <w:ind w:left="383" w:right="470" w:hanging="284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Preparations are underway for the logging of this new zone as well as the zone with</w:t>
                    </w:r>
                    <w:r>
                      <w:rPr>
                        <w:rFonts w:ascii="Arial"/>
                        <w:b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good oil shows that occurred over a 670 metre interval commencing just below the</w:t>
                    </w:r>
                    <w:r>
                      <w:rPr>
                        <w:rFonts w:asci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first</w:t>
                    </w:r>
                    <w:r>
                      <w:rPr>
                        <w:rFonts w:asci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casing</w:t>
                    </w:r>
                    <w:r>
                      <w:rPr>
                        <w:rFonts w:asci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point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at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455 metres,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at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as</w:t>
                    </w:r>
                    <w:r>
                      <w:rPr>
                        <w:rFonts w:asci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previously reported</w:t>
                    </w:r>
                  </w:p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3" w:val="left" w:leader="none"/>
                        <w:tab w:pos="384" w:val="left" w:leader="none"/>
                      </w:tabs>
                      <w:spacing w:before="0"/>
                      <w:ind w:left="384" w:right="0" w:hanging="284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primary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targets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the</w:t>
                    </w:r>
                    <w:r>
                      <w:rPr>
                        <w:rFonts w:ascii="Arial"/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Alameda-1</w:t>
                    </w:r>
                    <w:r>
                      <w:rPr>
                        <w:rFonts w:ascii="Arial"/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well</w:t>
                    </w:r>
                    <w:r>
                      <w:rPr>
                        <w:rFonts w:ascii="Arial"/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still lie</w:t>
                    </w:r>
                    <w:r>
                      <w:rPr>
                        <w:rFonts w:asci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ahead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Heading1"/>
        <w:jc w:val="both"/>
      </w:pPr>
      <w:r>
        <w:rPr/>
        <w:t>SYDNEY,</w:t>
      </w:r>
      <w:r>
        <w:rPr>
          <w:spacing w:val="-1"/>
        </w:rPr>
        <w:t> </w:t>
      </w:r>
      <w:r>
        <w:rPr/>
        <w:t>AUSTRALIA</w:t>
      </w:r>
      <w:r>
        <w:rPr>
          <w:spacing w:val="-2"/>
        </w:rPr>
        <w:t> </w:t>
      </w:r>
      <w:r>
        <w:rPr/>
        <w:t>(12</w:t>
      </w:r>
      <w:r>
        <w:rPr>
          <w:spacing w:val="-3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2021)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92" w:right="291"/>
        <w:jc w:val="both"/>
      </w:pPr>
      <w:r>
        <w:rPr/>
        <w:t>Melbana Energy Limited (ASX: MAY) (</w:t>
      </w:r>
      <w:r>
        <w:rPr>
          <w:rFonts w:ascii="Arial"/>
          <w:b/>
        </w:rPr>
        <w:t>Melbana</w:t>
      </w:r>
      <w:r>
        <w:rPr/>
        <w:t>) is pleased to report the following update on the</w:t>
      </w:r>
      <w:r>
        <w:rPr>
          <w:spacing w:val="1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Alameda-1</w:t>
      </w:r>
      <w:r>
        <w:rPr>
          <w:spacing w:val="-2"/>
        </w:rPr>
        <w:t> </w:t>
      </w:r>
      <w:r>
        <w:rPr/>
        <w:t>exploration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being</w:t>
      </w:r>
      <w:r>
        <w:rPr>
          <w:spacing w:val="-3"/>
        </w:rPr>
        <w:t> </w:t>
      </w:r>
      <w:r>
        <w:rPr/>
        <w:t>drilling in</w:t>
      </w:r>
      <w:r>
        <w:rPr>
          <w:spacing w:val="-2"/>
        </w:rPr>
        <w:t> </w:t>
      </w:r>
      <w:r>
        <w:rPr/>
        <w:t>Block 9</w:t>
      </w:r>
      <w:r>
        <w:rPr>
          <w:spacing w:val="-1"/>
        </w:rPr>
        <w:t> </w:t>
      </w:r>
      <w:r>
        <w:rPr/>
        <w:t>PSC, onshore</w:t>
      </w:r>
      <w:r>
        <w:rPr>
          <w:spacing w:val="-1"/>
        </w:rPr>
        <w:t> </w:t>
      </w:r>
      <w:r>
        <w:rPr/>
        <w:t>Cuba.</w:t>
      </w:r>
    </w:p>
    <w:p>
      <w:pPr>
        <w:pStyle w:val="BodyText"/>
      </w:pPr>
    </w:p>
    <w:p>
      <w:pPr>
        <w:pStyle w:val="BodyText"/>
        <w:ind w:left="192" w:right="291"/>
        <w:jc w:val="both"/>
      </w:pPr>
      <w:r>
        <w:rPr/>
        <w:t>Over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past</w:t>
      </w:r>
      <w:r>
        <w:rPr>
          <w:spacing w:val="-7"/>
        </w:rPr>
        <w:t> </w:t>
      </w:r>
      <w:r>
        <w:rPr/>
        <w:t>week,</w:t>
      </w:r>
      <w:r>
        <w:rPr>
          <w:spacing w:val="-6"/>
        </w:rPr>
        <w:t> </w:t>
      </w:r>
      <w:r>
        <w:rPr/>
        <w:t>drilling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Alameda-1</w:t>
      </w:r>
      <w:r>
        <w:rPr>
          <w:spacing w:val="-9"/>
        </w:rPr>
        <w:t> </w:t>
      </w:r>
      <w:r>
        <w:rPr/>
        <w:t>well</w:t>
      </w:r>
      <w:r>
        <w:rPr>
          <w:spacing w:val="-9"/>
        </w:rPr>
        <w:t> </w:t>
      </w:r>
      <w:r>
        <w:rPr/>
        <w:t>continued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depth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1,842</w:t>
      </w:r>
      <w:r>
        <w:rPr>
          <w:spacing w:val="-9"/>
        </w:rPr>
        <w:t> </w:t>
      </w:r>
      <w:r>
        <w:rPr/>
        <w:t>metres</w:t>
      </w:r>
      <w:r>
        <w:rPr>
          <w:spacing w:val="-7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well</w:t>
      </w:r>
      <w:r>
        <w:rPr>
          <w:spacing w:val="-59"/>
        </w:rPr>
        <w:t> </w:t>
      </w:r>
      <w:r>
        <w:rPr/>
        <w:t>encountering increasingly strong influx of gas with some oil (the latter as evidenced by the smoke</w:t>
      </w:r>
      <w:r>
        <w:rPr>
          <w:spacing w:val="1"/>
        </w:rPr>
        <w:t> </w:t>
      </w:r>
      <w:r>
        <w:rPr/>
        <w:t>and colour of the flare, shown in Figure 1).</w:t>
      </w:r>
      <w:r>
        <w:rPr>
          <w:spacing w:val="1"/>
        </w:rPr>
        <w:t> </w:t>
      </w:r>
      <w:r>
        <w:rPr/>
        <w:t>Flaring procedures were implemented to manage the</w:t>
      </w:r>
      <w:r>
        <w:rPr>
          <w:spacing w:val="1"/>
        </w:rPr>
        <w:t> </w:t>
      </w:r>
      <w:r>
        <w:rPr/>
        <w:t>influx while mud weight was increased to suppress it. As this was done without testing equipment it</w:t>
      </w:r>
      <w:r>
        <w:rPr>
          <w:spacing w:val="-5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not</w:t>
      </w:r>
      <w:r>
        <w:rPr>
          <w:spacing w:val="-13"/>
        </w:rPr>
        <w:t> </w:t>
      </w:r>
      <w:r>
        <w:rPr>
          <w:spacing w:val="-1"/>
        </w:rPr>
        <w:t>yet</w:t>
      </w:r>
      <w:r>
        <w:rPr>
          <w:spacing w:val="-12"/>
        </w:rPr>
        <w:t> </w:t>
      </w:r>
      <w:r>
        <w:rPr>
          <w:spacing w:val="-1"/>
        </w:rPr>
        <w:t>possible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confirm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proportions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oil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gas</w:t>
      </w:r>
      <w:r>
        <w:rPr>
          <w:spacing w:val="-14"/>
        </w:rPr>
        <w:t> </w:t>
      </w:r>
      <w:r>
        <w:rPr/>
        <w:t>nor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flow</w:t>
      </w:r>
      <w:r>
        <w:rPr>
          <w:spacing w:val="-14"/>
        </w:rPr>
        <w:t> </w:t>
      </w:r>
      <w:r>
        <w:rPr/>
        <w:t>rate,</w:t>
      </w:r>
      <w:r>
        <w:rPr>
          <w:spacing w:val="-15"/>
        </w:rPr>
        <w:t> </w:t>
      </w:r>
      <w:r>
        <w:rPr/>
        <w:t>but</w:t>
      </w:r>
      <w:r>
        <w:rPr>
          <w:spacing w:val="-10"/>
        </w:rPr>
        <w:t> </w:t>
      </w:r>
      <w:r>
        <w:rPr/>
        <w:t>these</w:t>
      </w:r>
      <w:r>
        <w:rPr>
          <w:spacing w:val="-14"/>
        </w:rPr>
        <w:t> </w:t>
      </w:r>
      <w:r>
        <w:rPr/>
        <w:t>results</w:t>
      </w:r>
      <w:r>
        <w:rPr>
          <w:spacing w:val="-14"/>
        </w:rPr>
        <w:t> </w:t>
      </w:r>
      <w:r>
        <w:rPr/>
        <w:t>suggest</w:t>
      </w:r>
      <w:r>
        <w:rPr>
          <w:spacing w:val="-59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now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intervals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secondary</w:t>
      </w:r>
      <w:r>
        <w:rPr>
          <w:spacing w:val="-1"/>
        </w:rPr>
        <w:t> </w:t>
      </w:r>
      <w:r>
        <w:rPr/>
        <w:t>objective that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closer examination.</w:t>
      </w:r>
    </w:p>
    <w:p>
      <w:pPr>
        <w:pStyle w:val="BodyText"/>
      </w:pPr>
    </w:p>
    <w:p>
      <w:pPr>
        <w:pStyle w:val="BodyText"/>
        <w:ind w:left="192" w:right="288"/>
        <w:jc w:val="both"/>
      </w:pPr>
      <w:r>
        <w:rPr/>
        <w:t>Drilling progress during the week was hampered by some minor mechanical problems, which have</w:t>
      </w:r>
      <w:r>
        <w:rPr>
          <w:spacing w:val="1"/>
        </w:rPr>
        <w:t> </w:t>
      </w:r>
      <w:r>
        <w:rPr/>
        <w:t>now been repaired, and the need to manage the higher-pressure zone and gas/oil influx, noted</w:t>
      </w:r>
      <w:r>
        <w:rPr>
          <w:spacing w:val="1"/>
        </w:rPr>
        <w:t> </w:t>
      </w:r>
      <w:r>
        <w:rPr/>
        <w:t>above.</w:t>
      </w:r>
      <w:r>
        <w:rPr>
          <w:spacing w:val="1"/>
        </w:rPr>
        <w:t> </w:t>
      </w:r>
      <w:r>
        <w:rPr/>
        <w:t>It has been decided to acquire a suite of wireline logs then run a 11-3/4” liner to seal off the</w:t>
      </w:r>
      <w:r>
        <w:rPr>
          <w:spacing w:val="-59"/>
        </w:rPr>
        <w:t> </w:t>
      </w:r>
      <w:r>
        <w:rPr/>
        <w:t>drilled section at the current depth. This will allow drilling to then progress in a controlled manner to</w:t>
      </w:r>
      <w:r>
        <w:rPr>
          <w:spacing w:val="-59"/>
        </w:rPr>
        <w:t> </w:t>
      </w:r>
      <w:r>
        <w:rPr/>
        <w:t>the primary objectives with a higher mud weight, thus avoiding possible damage to the shallower</w:t>
      </w:r>
      <w:r>
        <w:rPr>
          <w:spacing w:val="1"/>
        </w:rPr>
        <w:t> </w:t>
      </w:r>
      <w:r>
        <w:rPr/>
        <w:t>strata.</w:t>
      </w:r>
    </w:p>
    <w:p>
      <w:pPr>
        <w:pStyle w:val="BodyText"/>
      </w:pPr>
    </w:p>
    <w:p>
      <w:pPr>
        <w:pStyle w:val="BodyText"/>
        <w:ind w:left="192" w:right="291"/>
        <w:jc w:val="both"/>
      </w:pPr>
      <w:r>
        <w:rPr/>
        <w:t>Operations at the wellsite are now preparing the hole for electric logging of both the higher zone</w:t>
      </w:r>
      <w:r>
        <w:rPr>
          <w:spacing w:val="1"/>
        </w:rPr>
        <w:t> </w:t>
      </w:r>
      <w:r>
        <w:rPr/>
        <w:t>(gross thickness of 670 metres down to 1,130 metres), which had good oil shows over a significant</w:t>
      </w:r>
      <w:r>
        <w:rPr>
          <w:spacing w:val="-59"/>
        </w:rPr>
        <w:t> </w:t>
      </w:r>
      <w:r>
        <w:rPr/>
        <w:t>interval, and this new higher-pressure interval at approximately 1,842 metres. Analysis of the log</w:t>
      </w:r>
      <w:r>
        <w:rPr>
          <w:spacing w:val="1"/>
        </w:rPr>
        <w:t> </w:t>
      </w:r>
      <w:r>
        <w:rPr/>
        <w:t>data will help evaluate the significance of these encouraging hydrocarbon indications encountered</w:t>
      </w:r>
      <w:r>
        <w:rPr>
          <w:spacing w:val="1"/>
        </w:rPr>
        <w:t> </w:t>
      </w:r>
      <w:r>
        <w:rPr/>
        <w:t>to date.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756" w:top="520" w:bottom="940" w:left="940" w:right="8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92" w:right="291"/>
        <w:jc w:val="both"/>
      </w:pPr>
      <w:r>
        <w:rPr>
          <w:rFonts w:ascii="Arial" w:hAnsi="Arial"/>
          <w:b/>
          <w:spacing w:val="-1"/>
        </w:rPr>
        <w:t>Melbana Energy’s Executive Chairman, </w:t>
      </w:r>
      <w:r>
        <w:rPr>
          <w:rFonts w:ascii="Arial" w:hAnsi="Arial"/>
          <w:b/>
        </w:rPr>
        <w:t>Andrew Purcell, commented: </w:t>
      </w:r>
      <w:r>
        <w:rPr>
          <w:rFonts w:ascii="Arial" w:hAnsi="Arial"/>
          <w:i/>
        </w:rPr>
        <w:t>“</w:t>
      </w:r>
      <w:r>
        <w:rPr/>
        <w:t>Exploration drilling often</w:t>
      </w:r>
      <w:r>
        <w:rPr>
          <w:spacing w:val="-59"/>
        </w:rPr>
        <w:t> </w:t>
      </w:r>
      <w:r>
        <w:rPr/>
        <w:t>provides</w:t>
      </w:r>
      <w:r>
        <w:rPr>
          <w:spacing w:val="-13"/>
        </w:rPr>
        <w:t> </w:t>
      </w:r>
      <w:r>
        <w:rPr/>
        <w:t>unexpected</w:t>
      </w:r>
      <w:r>
        <w:rPr>
          <w:spacing w:val="-15"/>
        </w:rPr>
        <w:t> </w:t>
      </w:r>
      <w:r>
        <w:rPr/>
        <w:t>results</w:t>
      </w:r>
      <w:r>
        <w:rPr>
          <w:spacing w:val="-9"/>
        </w:rPr>
        <w:t> </w:t>
      </w:r>
      <w:r>
        <w:rPr/>
        <w:t>and</w:t>
      </w:r>
      <w:r>
        <w:rPr>
          <w:spacing w:val="-15"/>
        </w:rPr>
        <w:t> </w:t>
      </w:r>
      <w:r>
        <w:rPr/>
        <w:t>thus</w:t>
      </w:r>
      <w:r>
        <w:rPr>
          <w:spacing w:val="-14"/>
        </w:rPr>
        <w:t> </w:t>
      </w:r>
      <w:r>
        <w:rPr/>
        <w:t>requires</w:t>
      </w:r>
      <w:r>
        <w:rPr>
          <w:spacing w:val="-10"/>
        </w:rPr>
        <w:t> </w:t>
      </w:r>
      <w:r>
        <w:rPr/>
        <w:t>flexible</w:t>
      </w:r>
      <w:r>
        <w:rPr>
          <w:spacing w:val="-10"/>
        </w:rPr>
        <w:t> </w:t>
      </w:r>
      <w:r>
        <w:rPr/>
        <w:t>responses.</w:t>
      </w:r>
      <w:r>
        <w:rPr>
          <w:spacing w:val="36"/>
        </w:rPr>
        <w:t> </w:t>
      </w:r>
      <w:r>
        <w:rPr/>
        <w:t>Whilst</w:t>
      </w:r>
      <w:r>
        <w:rPr>
          <w:spacing w:val="-12"/>
        </w:rPr>
        <w:t> </w:t>
      </w:r>
      <w:r>
        <w:rPr/>
        <w:t>drilling</w:t>
      </w:r>
      <w:r>
        <w:rPr>
          <w:spacing w:val="-10"/>
        </w:rPr>
        <w:t> </w:t>
      </w:r>
      <w:r>
        <w:rPr/>
        <w:t>has</w:t>
      </w:r>
      <w:r>
        <w:rPr>
          <w:spacing w:val="-9"/>
        </w:rPr>
        <w:t> </w:t>
      </w:r>
      <w:r>
        <w:rPr/>
        <w:t>not</w:t>
      </w:r>
      <w:r>
        <w:rPr>
          <w:spacing w:val="-11"/>
        </w:rPr>
        <w:t> </w:t>
      </w:r>
      <w:r>
        <w:rPr/>
        <w:t>progressed</w:t>
      </w:r>
      <w:r>
        <w:rPr>
          <w:spacing w:val="-59"/>
        </w:rPr>
        <w:t> </w:t>
      </w:r>
      <w:r>
        <w:rPr/>
        <w:t>as far as we had projected this past week, this was due to encountering a higher-pressure zone</w:t>
      </w:r>
      <w:r>
        <w:rPr>
          <w:spacing w:val="1"/>
        </w:rPr>
        <w:t> </w:t>
      </w:r>
      <w:r>
        <w:rPr/>
        <w:t>earlier than we expected.</w:t>
      </w:r>
      <w:r>
        <w:rPr>
          <w:spacing w:val="1"/>
        </w:rPr>
        <w:t> </w:t>
      </w:r>
      <w:r>
        <w:rPr/>
        <w:t>The gas and oil influx into the well bore (following the earlier significant</w:t>
      </w:r>
      <w:r>
        <w:rPr>
          <w:spacing w:val="1"/>
        </w:rPr>
        <w:t> </w:t>
      </w:r>
      <w:r>
        <w:rPr/>
        <w:t>thickness of reported good to excellent oil shows) provides even more encouragement regarding</w:t>
      </w:r>
      <w:r>
        <w:rPr>
          <w:spacing w:val="1"/>
        </w:rPr>
        <w:t> </w:t>
      </w:r>
      <w:r>
        <w:rPr/>
        <w:t>this shallow part of the well.</w:t>
      </w:r>
      <w:r>
        <w:rPr>
          <w:spacing w:val="1"/>
        </w:rPr>
        <w:t> </w:t>
      </w:r>
      <w:r>
        <w:rPr/>
        <w:t>We await the results of the electric logging - which have been brought</w:t>
      </w:r>
      <w:r>
        <w:rPr>
          <w:spacing w:val="-59"/>
        </w:rPr>
        <w:t> </w:t>
      </w:r>
      <w:r>
        <w:rPr/>
        <w:t>forward from the original plan - with great interest.</w:t>
      </w:r>
      <w:r>
        <w:rPr>
          <w:spacing w:val="1"/>
        </w:rPr>
        <w:t> </w:t>
      </w:r>
      <w:r>
        <w:rPr/>
        <w:t>It is important to remember that the pre-drill</w:t>
      </w:r>
      <w:r>
        <w:rPr>
          <w:spacing w:val="1"/>
        </w:rPr>
        <w:t> </w:t>
      </w:r>
      <w:r>
        <w:rPr/>
        <w:t>synopsis for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well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/>
        <w:t>main (primary)</w:t>
      </w:r>
      <w:r>
        <w:rPr>
          <w:spacing w:val="-2"/>
        </w:rPr>
        <w:t> </w:t>
      </w:r>
      <w:r>
        <w:rPr/>
        <w:t>targets are</w:t>
      </w:r>
      <w:r>
        <w:rPr>
          <w:spacing w:val="-2"/>
        </w:rPr>
        <w:t> </w:t>
      </w:r>
      <w:r>
        <w:rPr/>
        <w:t>yet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reached”.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720090</wp:posOffset>
            </wp:positionH>
            <wp:positionV relativeFrom="paragraph">
              <wp:posOffset>161772</wp:posOffset>
            </wp:positionV>
            <wp:extent cx="4352807" cy="405993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807" cy="405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8"/>
        <w:ind w:left="197" w:right="0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Figure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1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Flaring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hydrocarbons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encountered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high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pressure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zone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commencing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1,842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metres</w:t>
      </w:r>
    </w:p>
    <w:p>
      <w:pPr>
        <w:spacing w:after="0"/>
        <w:jc w:val="both"/>
        <w:rPr>
          <w:rFonts w:ascii="Arial"/>
          <w:sz w:val="20"/>
        </w:rPr>
        <w:sectPr>
          <w:headerReference w:type="default" r:id="rId7"/>
          <w:footerReference w:type="default" r:id="rId8"/>
          <w:pgSz w:w="11910" w:h="16840"/>
          <w:pgMar w:header="384" w:footer="756" w:top="1320" w:bottom="940" w:left="940" w:right="84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Heading1"/>
      </w:pPr>
      <w:r>
        <w:rPr/>
        <w:t>Civil</w:t>
      </w:r>
      <w:r>
        <w:rPr>
          <w:spacing w:val="-1"/>
        </w:rPr>
        <w:t> </w:t>
      </w:r>
      <w:r>
        <w:rPr/>
        <w:t>Works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93" w:right="107" w:hanging="1"/>
      </w:pPr>
      <w:r>
        <w:rPr/>
        <w:t>The</w:t>
      </w:r>
      <w:r>
        <w:rPr>
          <w:spacing w:val="3"/>
        </w:rPr>
        <w:t> </w:t>
      </w:r>
      <w:r>
        <w:rPr/>
        <w:t>first</w:t>
      </w:r>
      <w:r>
        <w:rPr>
          <w:spacing w:val="3"/>
        </w:rPr>
        <w:t> </w:t>
      </w:r>
      <w:r>
        <w:rPr/>
        <w:t>tier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well</w:t>
      </w:r>
      <w:r>
        <w:rPr>
          <w:spacing w:val="4"/>
        </w:rPr>
        <w:t> </w:t>
      </w:r>
      <w:r>
        <w:rPr/>
        <w:t>pad</w:t>
      </w:r>
      <w:r>
        <w:rPr>
          <w:spacing w:val="3"/>
        </w:rPr>
        <w:t> </w:t>
      </w:r>
      <w:r>
        <w:rPr/>
        <w:t>for</w:t>
      </w:r>
      <w:r>
        <w:rPr>
          <w:spacing w:val="5"/>
        </w:rPr>
        <w:t> </w:t>
      </w:r>
      <w:r>
        <w:rPr/>
        <w:t>Zapato-1</w:t>
      </w:r>
      <w:r>
        <w:rPr>
          <w:spacing w:val="1"/>
        </w:rPr>
        <w:t> </w:t>
      </w:r>
      <w:r>
        <w:rPr/>
        <w:t>has</w:t>
      </w:r>
      <w:r>
        <w:rPr>
          <w:spacing w:val="5"/>
        </w:rPr>
        <w:t> </w:t>
      </w:r>
      <w:r>
        <w:rPr/>
        <w:t>now</w:t>
      </w:r>
      <w:r>
        <w:rPr>
          <w:spacing w:val="1"/>
        </w:rPr>
        <w:t> </w:t>
      </w:r>
      <w:r>
        <w:rPr/>
        <w:t>been</w:t>
      </w:r>
      <w:r>
        <w:rPr>
          <w:spacing w:val="3"/>
        </w:rPr>
        <w:t> </w:t>
      </w:r>
      <w:r>
        <w:rPr/>
        <w:t>completed.</w:t>
      </w:r>
      <w:r>
        <w:rPr>
          <w:spacing w:val="8"/>
        </w:rPr>
        <w:t> </w:t>
      </w:r>
      <w:r>
        <w:rPr/>
        <w:t>Work</w:t>
      </w:r>
      <w:r>
        <w:rPr>
          <w:spacing w:val="2"/>
        </w:rPr>
        <w:t> </w:t>
      </w:r>
      <w:r>
        <w:rPr/>
        <w:t>has</w:t>
      </w:r>
      <w:r>
        <w:rPr>
          <w:spacing w:val="4"/>
        </w:rPr>
        <w:t> </w:t>
      </w:r>
      <w:r>
        <w:rPr/>
        <w:t>now</w:t>
      </w:r>
      <w:r>
        <w:rPr>
          <w:spacing w:val="4"/>
        </w:rPr>
        <w:t> </w:t>
      </w:r>
      <w:r>
        <w:rPr/>
        <w:t>commenced</w:t>
      </w:r>
      <w:r>
        <w:rPr>
          <w:spacing w:val="3"/>
        </w:rPr>
        <w:t> </w:t>
      </w:r>
      <w:r>
        <w:rPr/>
        <w:t>on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build up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 tier.</w:t>
      </w:r>
      <w:r>
        <w:rPr>
          <w:spacing w:val="2"/>
        </w:rPr>
        <w:t> </w:t>
      </w:r>
      <w:r>
        <w:rPr/>
        <w:t>Progress</w:t>
      </w:r>
      <w:r>
        <w:rPr>
          <w:spacing w:val="-3"/>
        </w:rPr>
        <w:t> </w:t>
      </w:r>
      <w:r>
        <w:rPr/>
        <w:t>remains</w:t>
      </w:r>
      <w:r>
        <w:rPr>
          <w:spacing w:val="1"/>
        </w:rPr>
        <w:t> </w:t>
      </w:r>
      <w:r>
        <w:rPr/>
        <w:t>on schedule.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720090</wp:posOffset>
            </wp:positionH>
            <wp:positionV relativeFrom="paragraph">
              <wp:posOffset>161868</wp:posOffset>
            </wp:positionV>
            <wp:extent cx="4329277" cy="323354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277" cy="3233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"/>
        <w:ind w:left="192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Figure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2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Zapato-1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well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pad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now building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up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second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tier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4141"/>
      </w:tblGrid>
      <w:tr>
        <w:trPr>
          <w:trHeight w:val="341" w:hRule="atLeast"/>
        </w:trPr>
        <w:tc>
          <w:tcPr>
            <w:tcW w:w="4698" w:type="dxa"/>
          </w:tcPr>
          <w:p>
            <w:pPr>
              <w:pStyle w:val="TableParagraph"/>
              <w:spacing w:line="22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Behalf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Board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Directors:</w:t>
            </w:r>
          </w:p>
        </w:tc>
        <w:tc>
          <w:tcPr>
            <w:tcW w:w="4141" w:type="dxa"/>
          </w:tcPr>
          <w:p>
            <w:pPr>
              <w:pStyle w:val="TableParagraph"/>
              <w:spacing w:line="223" w:lineRule="exact"/>
              <w:ind w:lef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information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contact</w:t>
            </w:r>
          </w:p>
        </w:tc>
      </w:tr>
      <w:tr>
        <w:trPr>
          <w:trHeight w:val="345" w:hRule="atLeast"/>
        </w:trPr>
        <w:tc>
          <w:tcPr>
            <w:tcW w:w="4698" w:type="dxa"/>
          </w:tcPr>
          <w:p>
            <w:pPr>
              <w:pStyle w:val="TableParagraph"/>
              <w:spacing w:line="214" w:lineRule="exact" w:before="112"/>
              <w:rPr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Andrew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Purcell</w:t>
            </w:r>
          </w:p>
        </w:tc>
        <w:tc>
          <w:tcPr>
            <w:tcW w:w="4141" w:type="dxa"/>
          </w:tcPr>
          <w:p>
            <w:pPr>
              <w:pStyle w:val="TableParagraph"/>
              <w:spacing w:line="214" w:lineRule="exact" w:before="112"/>
              <w:ind w:left="321"/>
              <w:rPr>
                <w:sz w:val="20"/>
              </w:rPr>
            </w:pPr>
            <w:r>
              <w:rPr>
                <w:sz w:val="20"/>
              </w:rPr>
              <w:t>Mr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Renard</w:t>
            </w:r>
          </w:p>
        </w:tc>
      </w:tr>
      <w:tr>
        <w:trPr>
          <w:trHeight w:val="229" w:hRule="atLeast"/>
        </w:trPr>
        <w:tc>
          <w:tcPr>
            <w:tcW w:w="46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Chairman</w:t>
            </w:r>
          </w:p>
        </w:tc>
        <w:tc>
          <w:tcPr>
            <w:tcW w:w="4141" w:type="dxa"/>
          </w:tcPr>
          <w:p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Secretary</w:t>
            </w:r>
          </w:p>
        </w:tc>
      </w:tr>
      <w:tr>
        <w:trPr>
          <w:trHeight w:val="229" w:hRule="atLeast"/>
        </w:trPr>
        <w:tc>
          <w:tcPr>
            <w:tcW w:w="469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</w:tcPr>
          <w:p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+61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66 00</w:t>
            </w:r>
          </w:p>
        </w:tc>
      </w:tr>
      <w:tr>
        <w:trPr>
          <w:trHeight w:val="226" w:hRule="atLeast"/>
        </w:trPr>
        <w:tc>
          <w:tcPr>
            <w:tcW w:w="4698" w:type="dxa"/>
          </w:tcPr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Ends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</w:p>
        </w:tc>
        <w:tc>
          <w:tcPr>
            <w:tcW w:w="4141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384" w:footer="756" w:top="1320" w:bottom="940" w:left="9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93.128174pt;width:120.8pt;height:14.35pt;mso-position-horizontal-relative:page;mso-position-vertical-relative:page;z-index:-1579929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Melbana</w:t>
                </w:r>
                <w:r>
                  <w:rPr>
                    <w:spacing w:val="-4"/>
                  </w:rPr>
                  <w:t> </w:t>
                </w:r>
                <w:r>
                  <w:rPr/>
                  <w:t>Energy</w:t>
                </w:r>
                <w:r>
                  <w:rPr>
                    <w:spacing w:val="-5"/>
                  </w:rPr>
                  <w:t> </w:t>
                </w:r>
                <w:r>
                  <w:rPr/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524323pt;margin-top:793.128174pt;width:61.45pt;height:14.35pt;mso-position-horizontal-relative:page;mso-position-vertical-relative:page;z-index:-15798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524323pt;margin-top:793.126221pt;width:61.45pt;height:14.3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5463676</wp:posOffset>
          </wp:positionH>
          <wp:positionV relativeFrom="page">
            <wp:posOffset>243970</wp:posOffset>
          </wp:positionV>
          <wp:extent cx="1467327" cy="5988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7327" cy="5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84" w:hanging="284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6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2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6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2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9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9" w:lineRule="exact"/>
      <w:ind w:left="200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Melbana Energy Limited</dc:creator>
  <dcterms:created xsi:type="dcterms:W3CDTF">2021-10-13T12:16:32Z</dcterms:created>
  <dcterms:modified xsi:type="dcterms:W3CDTF">2021-10-13T12:16:32Z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2021-10-13T00:00:00Z</vt:filetime>
  </property>
</Properties>
</file>